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FF68A" w14:textId="7C0C1B46" w:rsidR="00C354DC" w:rsidRPr="00C354DC" w:rsidRDefault="00C354DC" w:rsidP="00C354DC">
      <w:pPr>
        <w:pStyle w:val="3GPPHeader"/>
        <w:rPr>
          <w:bCs/>
          <w:sz w:val="22"/>
        </w:rPr>
      </w:pPr>
      <w:r w:rsidRPr="00C354DC">
        <w:rPr>
          <w:bCs/>
          <w:sz w:val="22"/>
        </w:rPr>
        <w:t>3</w:t>
      </w:r>
      <w:r>
        <w:rPr>
          <w:bCs/>
          <w:sz w:val="22"/>
        </w:rPr>
        <w:t xml:space="preserve">GPP TSG RAN WG1 Meeting 90bis </w:t>
      </w:r>
      <w:r>
        <w:rPr>
          <w:bCs/>
          <w:sz w:val="22"/>
        </w:rPr>
        <w:tab/>
      </w:r>
      <w:bookmarkStart w:id="0" w:name="_GoBack"/>
      <w:r w:rsidR="00E245CC" w:rsidRPr="00E245CC">
        <w:rPr>
          <w:bCs/>
          <w:sz w:val="22"/>
        </w:rPr>
        <w:t>R1-1718688</w:t>
      </w:r>
      <w:bookmarkEnd w:id="0"/>
    </w:p>
    <w:p w14:paraId="0CFB86FD" w14:textId="77777777" w:rsidR="00C354DC" w:rsidRDefault="00C354DC" w:rsidP="00C354DC">
      <w:pPr>
        <w:pStyle w:val="3GPPHeader"/>
        <w:rPr>
          <w:bCs/>
          <w:sz w:val="22"/>
        </w:rPr>
      </w:pPr>
      <w:r w:rsidRPr="00C354DC">
        <w:rPr>
          <w:bCs/>
          <w:sz w:val="22"/>
        </w:rPr>
        <w:t>Prague, CZ, 9th – 13th, October 2017</w:t>
      </w:r>
    </w:p>
    <w:p w14:paraId="606D9DC9" w14:textId="3DC3D528" w:rsidR="00E90E49" w:rsidRPr="007B78FE" w:rsidRDefault="00E90E49" w:rsidP="00C354DC">
      <w:pPr>
        <w:pStyle w:val="3GPPHeader"/>
        <w:rPr>
          <w:sz w:val="22"/>
          <w:szCs w:val="22"/>
          <w:lang w:val="en-US"/>
        </w:rPr>
      </w:pPr>
      <w:r w:rsidRPr="007B78FE">
        <w:rPr>
          <w:sz w:val="22"/>
          <w:szCs w:val="22"/>
          <w:lang w:val="en-US"/>
        </w:rPr>
        <w:t>Agenda Item:</w:t>
      </w:r>
      <w:r w:rsidRPr="007B78FE">
        <w:rPr>
          <w:sz w:val="22"/>
          <w:szCs w:val="22"/>
          <w:lang w:val="en-US"/>
        </w:rPr>
        <w:tab/>
      </w:r>
      <w:r w:rsidR="00C354DC">
        <w:rPr>
          <w:sz w:val="22"/>
          <w:szCs w:val="22"/>
          <w:lang w:val="en-US"/>
        </w:rPr>
        <w:t>7.</w:t>
      </w:r>
      <w:r w:rsidR="007B75CF">
        <w:rPr>
          <w:sz w:val="22"/>
          <w:szCs w:val="22"/>
          <w:lang w:val="en-US"/>
        </w:rPr>
        <w:t>8</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2A2B98B7"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30754A" w:rsidRPr="0030754A">
        <w:rPr>
          <w:sz w:val="22"/>
          <w:szCs w:val="22"/>
          <w:lang w:val="en-US"/>
        </w:rPr>
        <w:t xml:space="preserve">Open issues on RRC parameters </w:t>
      </w:r>
      <w:r w:rsidR="007B75CF" w:rsidRPr="007B75CF">
        <w:rPr>
          <w:sz w:val="22"/>
          <w:szCs w:val="22"/>
          <w:lang w:val="en-US"/>
        </w:rPr>
        <w:t>for NR-LTE co-existence</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97CF379" w14:textId="2BD03F7A" w:rsidR="00D538F4" w:rsidRDefault="00C354DC" w:rsidP="00D538F4">
      <w:pPr>
        <w:pStyle w:val="BodyText"/>
        <w:rPr>
          <w:lang w:val="en-US"/>
        </w:rPr>
      </w:pPr>
      <w:r>
        <w:rPr>
          <w:lang w:val="en-US"/>
        </w:rPr>
        <w:t xml:space="preserve">In this contribution, we aim to highlight the open issues related to RRC parameters that would need to be finalized during this meeting. The contribution focused on </w:t>
      </w:r>
      <w:r w:rsidR="007B75CF">
        <w:rPr>
          <w:lang w:val="en-US"/>
        </w:rPr>
        <w:t>NR-LTE coex</w:t>
      </w:r>
      <w:r w:rsidR="00AC3910">
        <w:rPr>
          <w:lang w:val="en-US"/>
        </w:rPr>
        <w:t>.</w:t>
      </w:r>
    </w:p>
    <w:p w14:paraId="2DFAC73A" w14:textId="249B16C3" w:rsidR="00EA60F2" w:rsidRDefault="00C354DC" w:rsidP="000B0589">
      <w:pPr>
        <w:pStyle w:val="Heading1"/>
        <w:rPr>
          <w:lang w:val="en-US"/>
        </w:rPr>
      </w:pPr>
      <w:r>
        <w:rPr>
          <w:lang w:val="en-US"/>
        </w:rPr>
        <w:t>Discussion</w:t>
      </w:r>
    </w:p>
    <w:p w14:paraId="6454C1EB" w14:textId="20E68312" w:rsidR="003E3B11" w:rsidRDefault="00C354DC" w:rsidP="00C354DC">
      <w:pPr>
        <w:pStyle w:val="BodyText"/>
        <w:spacing w:after="240"/>
      </w:pPr>
      <w:r>
        <w:t xml:space="preserve">For each of the topics within the </w:t>
      </w:r>
      <w:r w:rsidR="007B75CF">
        <w:t xml:space="preserve">NR-LTE coex </w:t>
      </w:r>
      <w:r>
        <w:t xml:space="preserve">we try to highlight the open issues to </w:t>
      </w:r>
      <w:r w:rsidR="00C034F1">
        <w:t>facilitate</w:t>
      </w:r>
      <w:r>
        <w:t xml:space="preserve"> a better targeted discussion during RAN1 #90bis.</w:t>
      </w:r>
    </w:p>
    <w:p w14:paraId="66D6A107" w14:textId="0E82858E" w:rsidR="00345127" w:rsidRDefault="007B75CF" w:rsidP="007B75CF">
      <w:pPr>
        <w:pStyle w:val="BodyText"/>
        <w:spacing w:after="240"/>
        <w:rPr>
          <w:lang w:val="en-US"/>
        </w:rPr>
      </w:pPr>
      <w:r>
        <w:rPr>
          <w:lang w:val="en-US"/>
        </w:rPr>
        <w:t xml:space="preserve">Firstly, there is multiple overlaps here with other agenda items which we do not directly address such as power control, CA and so </w:t>
      </w:r>
      <w:r w:rsidR="00E245CC">
        <w:rPr>
          <w:lang w:val="en-US"/>
        </w:rPr>
        <w:t>forth</w:t>
      </w:r>
      <w:r>
        <w:rPr>
          <w:lang w:val="en-US"/>
        </w:rPr>
        <w:t>. Apart from this it has been agreed to define a TDM pattern on the LTE side to allow single Tx operation and the same pattern is intended to be reused potentially for LTE-NR operation on the same frequency. The specific signaling design and behavior for this has not been defined yet in detail and need correspondingly to be finalized and defined in the applicable LTE specifications (LTE since it affects LTE and not NR). If additional UE signaling needs to be defined on top of this this then would also need to be defined.</w:t>
      </w:r>
    </w:p>
    <w:p w14:paraId="4BA34893" w14:textId="514846B6" w:rsidR="007B75CF" w:rsidRPr="007B75CF" w:rsidRDefault="007B75CF" w:rsidP="007B75CF">
      <w:pPr>
        <w:pStyle w:val="BodyText"/>
        <w:spacing w:after="240"/>
        <w:rPr>
          <w:b/>
          <w:lang w:val="en-US"/>
        </w:rPr>
      </w:pPr>
      <w:r w:rsidRPr="007B75CF">
        <w:rPr>
          <w:b/>
          <w:lang w:val="en-US"/>
        </w:rPr>
        <w:t>Proposal</w:t>
      </w:r>
    </w:p>
    <w:p w14:paraId="5CCD99CB" w14:textId="7CB2A5F1" w:rsidR="007B75CF" w:rsidRDefault="007B75CF" w:rsidP="007B75CF">
      <w:pPr>
        <w:pStyle w:val="BodyText"/>
        <w:numPr>
          <w:ilvl w:val="0"/>
          <w:numId w:val="25"/>
        </w:numPr>
        <w:spacing w:after="240"/>
        <w:rPr>
          <w:lang w:val="en-US"/>
        </w:rPr>
      </w:pPr>
      <w:r>
        <w:rPr>
          <w:lang w:val="en-US"/>
        </w:rPr>
        <w:t>Conclude on the TDM design for one Tx operation that has impact on LTE specification in detail and introduced the corresponding signaling for it.</w:t>
      </w:r>
    </w:p>
    <w:p w14:paraId="604113F5" w14:textId="36203529" w:rsidR="007B75CF" w:rsidRPr="007A267B" w:rsidRDefault="007B75CF" w:rsidP="007B75CF">
      <w:pPr>
        <w:pStyle w:val="BodyText"/>
        <w:numPr>
          <w:ilvl w:val="0"/>
          <w:numId w:val="25"/>
        </w:numPr>
        <w:spacing w:after="240"/>
        <w:rPr>
          <w:lang w:val="en-US"/>
        </w:rPr>
      </w:pPr>
      <w:r>
        <w:rPr>
          <w:lang w:val="en-US"/>
        </w:rPr>
        <w:t>Conclude on any additional UE signaling that is needed to be introduced to support NR-LTE coex.</w:t>
      </w:r>
    </w:p>
    <w:p w14:paraId="2C1B6BD4" w14:textId="77777777" w:rsidR="00C01F33" w:rsidRPr="007B78FE" w:rsidRDefault="00C01F33" w:rsidP="00CE0424">
      <w:pPr>
        <w:pStyle w:val="Heading1"/>
        <w:rPr>
          <w:lang w:val="en-US"/>
        </w:rPr>
      </w:pPr>
      <w:r w:rsidRPr="007B78FE">
        <w:rPr>
          <w:lang w:val="en-US"/>
        </w:rPr>
        <w:t>Conclusion</w:t>
      </w:r>
    </w:p>
    <w:p w14:paraId="2D235AD5" w14:textId="02E33DAA" w:rsidR="001154BD" w:rsidRDefault="007B78FE" w:rsidP="008E065E">
      <w:pPr>
        <w:rPr>
          <w:bCs/>
          <w:lang w:val="en-US"/>
        </w:rPr>
      </w:pPr>
      <w:r w:rsidRPr="007B78FE">
        <w:rPr>
          <w:bCs/>
          <w:lang w:val="en-US"/>
        </w:rPr>
        <w:t xml:space="preserve">We </w:t>
      </w:r>
      <w:r w:rsidR="0010118E" w:rsidRPr="007B78FE">
        <w:rPr>
          <w:lang w:val="en-US"/>
        </w:rPr>
        <w:t>discuss</w:t>
      </w:r>
      <w:r w:rsidR="00DB138E">
        <w:rPr>
          <w:lang w:val="en-US"/>
        </w:rPr>
        <w:t xml:space="preserve"> RRC parameter for </w:t>
      </w:r>
      <w:r w:rsidR="007B75CF">
        <w:rPr>
          <w:lang w:val="en-US"/>
        </w:rPr>
        <w:t>NR-LTE coex</w:t>
      </w:r>
      <w:r w:rsidR="0010118E">
        <w:rPr>
          <w:lang w:val="en-US"/>
        </w:rPr>
        <w:t>. We propose</w:t>
      </w:r>
    </w:p>
    <w:p w14:paraId="6D8263C1" w14:textId="77777777" w:rsidR="00E245CC" w:rsidRDefault="00E245CC" w:rsidP="00E245CC">
      <w:pPr>
        <w:pStyle w:val="BodyText"/>
        <w:numPr>
          <w:ilvl w:val="0"/>
          <w:numId w:val="25"/>
        </w:numPr>
        <w:spacing w:after="240"/>
        <w:rPr>
          <w:lang w:val="en-US"/>
        </w:rPr>
      </w:pPr>
      <w:r>
        <w:rPr>
          <w:lang w:val="en-US"/>
        </w:rPr>
        <w:t>Conclude on the TDM design for one Tx operation that has impact on LTE specification in detail and introduced the corresponding signaling for it.</w:t>
      </w:r>
    </w:p>
    <w:p w14:paraId="3E39E7F6" w14:textId="77777777" w:rsidR="00E245CC" w:rsidRPr="007A267B" w:rsidRDefault="00E245CC" w:rsidP="00E245CC">
      <w:pPr>
        <w:pStyle w:val="BodyText"/>
        <w:numPr>
          <w:ilvl w:val="0"/>
          <w:numId w:val="25"/>
        </w:numPr>
        <w:spacing w:after="240"/>
        <w:rPr>
          <w:lang w:val="en-US"/>
        </w:rPr>
      </w:pPr>
      <w:r>
        <w:rPr>
          <w:lang w:val="en-US"/>
        </w:rPr>
        <w:t>Conclude on any additional UE signaling that is needed to be introduced to support NR-LTE coex.</w:t>
      </w:r>
    </w:p>
    <w:sectPr w:rsidR="00E245CC" w:rsidRPr="007A267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9A52E" w14:textId="77777777" w:rsidR="0080614C" w:rsidRDefault="0080614C">
      <w:r>
        <w:separator/>
      </w:r>
    </w:p>
  </w:endnote>
  <w:endnote w:type="continuationSeparator" w:id="0">
    <w:p w14:paraId="09EF0DB7" w14:textId="77777777" w:rsidR="0080614C" w:rsidRDefault="0080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8A520" w14:textId="77777777" w:rsidR="005F6A7E" w:rsidRDefault="005F6A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A96D467" w:rsidR="00920BF2" w:rsidRPr="005F6A7E" w:rsidRDefault="00920BF2" w:rsidP="005F6A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A68FD" w14:textId="77777777" w:rsidR="005F6A7E" w:rsidRDefault="005F6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5F099" w14:textId="77777777" w:rsidR="0080614C" w:rsidRDefault="0080614C">
      <w:r>
        <w:separator/>
      </w:r>
    </w:p>
  </w:footnote>
  <w:footnote w:type="continuationSeparator" w:id="0">
    <w:p w14:paraId="385B60D3" w14:textId="77777777" w:rsidR="0080614C" w:rsidRDefault="00806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375F73C5" w:rsidR="00920BF2" w:rsidRPr="005F6A7E" w:rsidRDefault="00920BF2" w:rsidP="005F6A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C16FF" w14:textId="77777777" w:rsidR="005F6A7E" w:rsidRDefault="005F6A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C2517" w14:textId="77777777" w:rsidR="005F6A7E" w:rsidRDefault="005F6A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73F34"/>
    <w:multiLevelType w:val="hybridMultilevel"/>
    <w:tmpl w:val="BA8AC4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F7AE9"/>
    <w:multiLevelType w:val="hybridMultilevel"/>
    <w:tmpl w:val="327ABA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FC756B"/>
    <w:multiLevelType w:val="hybridMultilevel"/>
    <w:tmpl w:val="D206BB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A6896"/>
    <w:multiLevelType w:val="hybridMultilevel"/>
    <w:tmpl w:val="43A22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ED65E7"/>
    <w:multiLevelType w:val="hybridMultilevel"/>
    <w:tmpl w:val="4AA4E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EA1821"/>
    <w:multiLevelType w:val="hybridMultilevel"/>
    <w:tmpl w:val="AF783E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BA44EC"/>
    <w:multiLevelType w:val="hybridMultilevel"/>
    <w:tmpl w:val="9782E0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437680"/>
    <w:multiLevelType w:val="hybridMultilevel"/>
    <w:tmpl w:val="AD52A5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FE4F3D"/>
    <w:multiLevelType w:val="hybridMultilevel"/>
    <w:tmpl w:val="44D4FF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5FD5C0B"/>
    <w:multiLevelType w:val="hybridMultilevel"/>
    <w:tmpl w:val="87C03F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C1401A4"/>
    <w:multiLevelType w:val="hybridMultilevel"/>
    <w:tmpl w:val="43B29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8B57F8F"/>
    <w:multiLevelType w:val="hybridMultilevel"/>
    <w:tmpl w:val="EC54F5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E4A1E7F"/>
    <w:multiLevelType w:val="hybridMultilevel"/>
    <w:tmpl w:val="6D3406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7"/>
  </w:num>
  <w:num w:numId="6">
    <w:abstractNumId w:val="15"/>
  </w:num>
  <w:num w:numId="7">
    <w:abstractNumId w:val="19"/>
  </w:num>
  <w:num w:numId="8">
    <w:abstractNumId w:val="9"/>
  </w:num>
  <w:num w:numId="9">
    <w:abstractNumId w:val="18"/>
  </w:num>
  <w:num w:numId="10">
    <w:abstractNumId w:val="1"/>
  </w:num>
  <w:num w:numId="11">
    <w:abstractNumId w:val="3"/>
  </w:num>
  <w:num w:numId="12">
    <w:abstractNumId w:val="5"/>
  </w:num>
  <w:num w:numId="13">
    <w:abstractNumId w:val="8"/>
  </w:num>
  <w:num w:numId="14">
    <w:abstractNumId w:val="10"/>
  </w:num>
  <w:num w:numId="15">
    <w:abstractNumId w:val="4"/>
  </w:num>
  <w:num w:numId="16">
    <w:abstractNumId w:val="13"/>
  </w:num>
  <w:num w:numId="17">
    <w:abstractNumId w:val="22"/>
  </w:num>
  <w:num w:numId="18">
    <w:abstractNumId w:val="14"/>
  </w:num>
  <w:num w:numId="19">
    <w:abstractNumId w:val="20"/>
  </w:num>
  <w:num w:numId="20">
    <w:abstractNumId w:val="2"/>
  </w:num>
  <w:num w:numId="21">
    <w:abstractNumId w:val="21"/>
  </w:num>
  <w:num w:numId="22">
    <w:abstractNumId w:val="16"/>
  </w:num>
  <w:num w:numId="23">
    <w:abstractNumId w:val="6"/>
  </w:num>
  <w:num w:numId="24">
    <w:abstractNumId w:val="24"/>
  </w:num>
  <w:num w:numId="2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E0D"/>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55EB"/>
    <w:rsid w:val="00085B52"/>
    <w:rsid w:val="000866F2"/>
    <w:rsid w:val="0008751B"/>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1E23"/>
    <w:rsid w:val="001521A7"/>
    <w:rsid w:val="001526E0"/>
    <w:rsid w:val="001551B5"/>
    <w:rsid w:val="00163A2A"/>
    <w:rsid w:val="001659C1"/>
    <w:rsid w:val="00166209"/>
    <w:rsid w:val="001676BF"/>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A2E"/>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A6563"/>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2A59"/>
    <w:rsid w:val="0030501F"/>
    <w:rsid w:val="003065D1"/>
    <w:rsid w:val="00306E86"/>
    <w:rsid w:val="0030754A"/>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5127"/>
    <w:rsid w:val="00346DB5"/>
    <w:rsid w:val="003477B1"/>
    <w:rsid w:val="00352421"/>
    <w:rsid w:val="00357380"/>
    <w:rsid w:val="003602D9"/>
    <w:rsid w:val="003604CE"/>
    <w:rsid w:val="00360828"/>
    <w:rsid w:val="0036414E"/>
    <w:rsid w:val="00370E47"/>
    <w:rsid w:val="003742AC"/>
    <w:rsid w:val="00376A32"/>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B1F"/>
    <w:rsid w:val="003D77B0"/>
    <w:rsid w:val="003E15FA"/>
    <w:rsid w:val="003E3B11"/>
    <w:rsid w:val="003E3EE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3A11"/>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7C0C"/>
    <w:rsid w:val="004C3898"/>
    <w:rsid w:val="004C6405"/>
    <w:rsid w:val="004D30FE"/>
    <w:rsid w:val="004D36B1"/>
    <w:rsid w:val="004D7EBD"/>
    <w:rsid w:val="004E2680"/>
    <w:rsid w:val="004E28F9"/>
    <w:rsid w:val="004E462E"/>
    <w:rsid w:val="004E4813"/>
    <w:rsid w:val="004E56DC"/>
    <w:rsid w:val="004E76F4"/>
    <w:rsid w:val="004F0445"/>
    <w:rsid w:val="004F0B4E"/>
    <w:rsid w:val="004F0B6C"/>
    <w:rsid w:val="004F2078"/>
    <w:rsid w:val="004F4DA3"/>
    <w:rsid w:val="0050619F"/>
    <w:rsid w:val="00506557"/>
    <w:rsid w:val="0050677A"/>
    <w:rsid w:val="005108D8"/>
    <w:rsid w:val="005116F9"/>
    <w:rsid w:val="005153A7"/>
    <w:rsid w:val="005154B1"/>
    <w:rsid w:val="005219CF"/>
    <w:rsid w:val="00532D41"/>
    <w:rsid w:val="00533AB8"/>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6A7E"/>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3F46"/>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267B"/>
    <w:rsid w:val="007A306F"/>
    <w:rsid w:val="007A43A6"/>
    <w:rsid w:val="007A58A6"/>
    <w:rsid w:val="007B3D2D"/>
    <w:rsid w:val="007B50AE"/>
    <w:rsid w:val="007B51DF"/>
    <w:rsid w:val="007B75CF"/>
    <w:rsid w:val="007B78FE"/>
    <w:rsid w:val="007C05DD"/>
    <w:rsid w:val="007C3D18"/>
    <w:rsid w:val="007C60BF"/>
    <w:rsid w:val="007C6A07"/>
    <w:rsid w:val="007C6D48"/>
    <w:rsid w:val="007C75A1"/>
    <w:rsid w:val="007C77A5"/>
    <w:rsid w:val="007D04E5"/>
    <w:rsid w:val="007D13F7"/>
    <w:rsid w:val="007D5901"/>
    <w:rsid w:val="007D7526"/>
    <w:rsid w:val="007E19AB"/>
    <w:rsid w:val="007E26DB"/>
    <w:rsid w:val="007E4610"/>
    <w:rsid w:val="007E4715"/>
    <w:rsid w:val="007E505B"/>
    <w:rsid w:val="007E7091"/>
    <w:rsid w:val="007F36F8"/>
    <w:rsid w:val="00803FAE"/>
    <w:rsid w:val="0080605F"/>
    <w:rsid w:val="0080614C"/>
    <w:rsid w:val="00807786"/>
    <w:rsid w:val="00811FCB"/>
    <w:rsid w:val="00814634"/>
    <w:rsid w:val="008158D6"/>
    <w:rsid w:val="00817196"/>
    <w:rsid w:val="0082252F"/>
    <w:rsid w:val="008235DB"/>
    <w:rsid w:val="00824AB4"/>
    <w:rsid w:val="00825C42"/>
    <w:rsid w:val="00825D25"/>
    <w:rsid w:val="00826D43"/>
    <w:rsid w:val="00827D17"/>
    <w:rsid w:val="00827D6F"/>
    <w:rsid w:val="00831AD4"/>
    <w:rsid w:val="008376AC"/>
    <w:rsid w:val="00843433"/>
    <w:rsid w:val="00843C1E"/>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30AC"/>
    <w:rsid w:val="008A44B8"/>
    <w:rsid w:val="008A51A8"/>
    <w:rsid w:val="008A54C7"/>
    <w:rsid w:val="008A5EF9"/>
    <w:rsid w:val="008A77D8"/>
    <w:rsid w:val="008B0483"/>
    <w:rsid w:val="008B11AF"/>
    <w:rsid w:val="008B120C"/>
    <w:rsid w:val="008B51A0"/>
    <w:rsid w:val="008B592A"/>
    <w:rsid w:val="008B7B5C"/>
    <w:rsid w:val="008B7D86"/>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7EC"/>
    <w:rsid w:val="00950DE7"/>
    <w:rsid w:val="00951E02"/>
    <w:rsid w:val="00953920"/>
    <w:rsid w:val="00953D47"/>
    <w:rsid w:val="0095681E"/>
    <w:rsid w:val="009572D4"/>
    <w:rsid w:val="00961921"/>
    <w:rsid w:val="009635AA"/>
    <w:rsid w:val="0096430A"/>
    <w:rsid w:val="0096554B"/>
    <w:rsid w:val="0096584A"/>
    <w:rsid w:val="009712F5"/>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272D"/>
    <w:rsid w:val="009E35DB"/>
    <w:rsid w:val="009E47A3"/>
    <w:rsid w:val="009E60EC"/>
    <w:rsid w:val="009F08F3"/>
    <w:rsid w:val="009F344F"/>
    <w:rsid w:val="009F5F57"/>
    <w:rsid w:val="009F6B33"/>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2C45"/>
    <w:rsid w:val="00A43150"/>
    <w:rsid w:val="00A45B74"/>
    <w:rsid w:val="00A473ED"/>
    <w:rsid w:val="00A52B67"/>
    <w:rsid w:val="00A52E1D"/>
    <w:rsid w:val="00A61499"/>
    <w:rsid w:val="00A62A77"/>
    <w:rsid w:val="00A63483"/>
    <w:rsid w:val="00A657D7"/>
    <w:rsid w:val="00A660AC"/>
    <w:rsid w:val="00A67E6C"/>
    <w:rsid w:val="00A71B99"/>
    <w:rsid w:val="00A739D0"/>
    <w:rsid w:val="00A761D4"/>
    <w:rsid w:val="00A772E6"/>
    <w:rsid w:val="00A77EC4"/>
    <w:rsid w:val="00A8269D"/>
    <w:rsid w:val="00A84711"/>
    <w:rsid w:val="00A85AA5"/>
    <w:rsid w:val="00A86BE9"/>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3910"/>
    <w:rsid w:val="00AC49FB"/>
    <w:rsid w:val="00AC5A10"/>
    <w:rsid w:val="00AD0AA3"/>
    <w:rsid w:val="00AD3F94"/>
    <w:rsid w:val="00AD4A5A"/>
    <w:rsid w:val="00AE27AC"/>
    <w:rsid w:val="00AE2834"/>
    <w:rsid w:val="00AE40E0"/>
    <w:rsid w:val="00AE4DBA"/>
    <w:rsid w:val="00AE4F07"/>
    <w:rsid w:val="00AF1C5D"/>
    <w:rsid w:val="00AF237F"/>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66"/>
    <w:rsid w:val="00B52BA1"/>
    <w:rsid w:val="00B6188F"/>
    <w:rsid w:val="00B664C7"/>
    <w:rsid w:val="00B7198C"/>
    <w:rsid w:val="00B739F6"/>
    <w:rsid w:val="00B73CC5"/>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34F1"/>
    <w:rsid w:val="00C040F7"/>
    <w:rsid w:val="00C041B0"/>
    <w:rsid w:val="00C044AB"/>
    <w:rsid w:val="00C05706"/>
    <w:rsid w:val="00C07377"/>
    <w:rsid w:val="00C10478"/>
    <w:rsid w:val="00C1120A"/>
    <w:rsid w:val="00C12107"/>
    <w:rsid w:val="00C14D4B"/>
    <w:rsid w:val="00C154BB"/>
    <w:rsid w:val="00C17133"/>
    <w:rsid w:val="00C201FD"/>
    <w:rsid w:val="00C20977"/>
    <w:rsid w:val="00C21B9D"/>
    <w:rsid w:val="00C23998"/>
    <w:rsid w:val="00C279B5"/>
    <w:rsid w:val="00C27C45"/>
    <w:rsid w:val="00C30407"/>
    <w:rsid w:val="00C31765"/>
    <w:rsid w:val="00C354DC"/>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56AC"/>
    <w:rsid w:val="00CB1F6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349B"/>
    <w:rsid w:val="00D10249"/>
    <w:rsid w:val="00D115C3"/>
    <w:rsid w:val="00D11897"/>
    <w:rsid w:val="00D13135"/>
    <w:rsid w:val="00D13E4E"/>
    <w:rsid w:val="00D21F5F"/>
    <w:rsid w:val="00D239A7"/>
    <w:rsid w:val="00D23F47"/>
    <w:rsid w:val="00D27862"/>
    <w:rsid w:val="00D3019D"/>
    <w:rsid w:val="00D36E71"/>
    <w:rsid w:val="00D376C5"/>
    <w:rsid w:val="00D37D87"/>
    <w:rsid w:val="00D40B33"/>
    <w:rsid w:val="00D42891"/>
    <w:rsid w:val="00D4318F"/>
    <w:rsid w:val="00D438BF"/>
    <w:rsid w:val="00D440F8"/>
    <w:rsid w:val="00D50F97"/>
    <w:rsid w:val="00D51853"/>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138E"/>
    <w:rsid w:val="00DB377D"/>
    <w:rsid w:val="00DC2D36"/>
    <w:rsid w:val="00DC53EF"/>
    <w:rsid w:val="00DC72DB"/>
    <w:rsid w:val="00DE0C96"/>
    <w:rsid w:val="00DE1BBA"/>
    <w:rsid w:val="00DE5608"/>
    <w:rsid w:val="00DE58D0"/>
    <w:rsid w:val="00DE654F"/>
    <w:rsid w:val="00DF0B6E"/>
    <w:rsid w:val="00DF15E0"/>
    <w:rsid w:val="00DF37A0"/>
    <w:rsid w:val="00DF48C6"/>
    <w:rsid w:val="00DF4FC5"/>
    <w:rsid w:val="00DF71A0"/>
    <w:rsid w:val="00DF7C96"/>
    <w:rsid w:val="00DF7ECA"/>
    <w:rsid w:val="00E04024"/>
    <w:rsid w:val="00E110E7"/>
    <w:rsid w:val="00E11B20"/>
    <w:rsid w:val="00E14D9A"/>
    <w:rsid w:val="00E17FA2"/>
    <w:rsid w:val="00E22330"/>
    <w:rsid w:val="00E245CC"/>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962D8"/>
    <w:rsid w:val="00EA60F2"/>
    <w:rsid w:val="00EA7A41"/>
    <w:rsid w:val="00EB077B"/>
    <w:rsid w:val="00EB4EA2"/>
    <w:rsid w:val="00EC27C6"/>
    <w:rsid w:val="00EC4207"/>
    <w:rsid w:val="00EC5653"/>
    <w:rsid w:val="00EC71CE"/>
    <w:rsid w:val="00ED1006"/>
    <w:rsid w:val="00EF18FE"/>
    <w:rsid w:val="00EF1EC5"/>
    <w:rsid w:val="00EF5787"/>
    <w:rsid w:val="00EF60D0"/>
    <w:rsid w:val="00F01FBF"/>
    <w:rsid w:val="00F0528D"/>
    <w:rsid w:val="00F06C67"/>
    <w:rsid w:val="00F06DFD"/>
    <w:rsid w:val="00F071D1"/>
    <w:rsid w:val="00F07533"/>
    <w:rsid w:val="00F10629"/>
    <w:rsid w:val="00F11623"/>
    <w:rsid w:val="00F12C6D"/>
    <w:rsid w:val="00F154BD"/>
    <w:rsid w:val="00F15FA5"/>
    <w:rsid w:val="00F17FAC"/>
    <w:rsid w:val="00F209B7"/>
    <w:rsid w:val="00F2376F"/>
    <w:rsid w:val="00F243D8"/>
    <w:rsid w:val="00F30828"/>
    <w:rsid w:val="00F313D6"/>
    <w:rsid w:val="00F337A1"/>
    <w:rsid w:val="00F40F0C"/>
    <w:rsid w:val="00F41B4E"/>
    <w:rsid w:val="00F459B0"/>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aliases w:val="- Bullets"/>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paragraph" w:customStyle="1" w:styleId="References">
    <w:name w:val="References"/>
    <w:basedOn w:val="Normal"/>
    <w:rsid w:val="00C354DC"/>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character" w:customStyle="1" w:styleId="font191">
    <w:name w:val="font191"/>
    <w:basedOn w:val="DefaultParagraphFont"/>
    <w:rsid w:val="00A85AA5"/>
    <w:rPr>
      <w:rFonts w:ascii="Arial" w:hAnsi="Arial" w:cs="Arial" w:hint="default"/>
      <w:b w:val="0"/>
      <w:bCs w:val="0"/>
      <w:i w:val="0"/>
      <w:iCs w:val="0"/>
      <w:strike w:val="0"/>
      <w:dstrike w:val="0"/>
      <w:color w:val="FF0000"/>
      <w:sz w:val="16"/>
      <w:szCs w:val="16"/>
      <w:u w:val="none"/>
      <w:effect w:val="none"/>
    </w:rPr>
  </w:style>
  <w:style w:type="character" w:customStyle="1" w:styleId="font91">
    <w:name w:val="font9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41">
    <w:name w:val="font14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71">
    <w:name w:val="font17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161">
    <w:name w:val="font16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211">
    <w:name w:val="font211"/>
    <w:basedOn w:val="DefaultParagraphFont"/>
    <w:rsid w:val="00F459B0"/>
    <w:rPr>
      <w:rFonts w:ascii="Arial" w:hAnsi="Arial" w:cs="Arial" w:hint="default"/>
      <w:b w:val="0"/>
      <w:bCs w:val="0"/>
      <w:i w:val="0"/>
      <w:iCs w:val="0"/>
      <w:strike w:val="0"/>
      <w:dstrike w:val="0"/>
      <w:color w:val="FF000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6155">
      <w:bodyDiv w:val="1"/>
      <w:marLeft w:val="0"/>
      <w:marRight w:val="0"/>
      <w:marTop w:val="0"/>
      <w:marBottom w:val="0"/>
      <w:divBdr>
        <w:top w:val="none" w:sz="0" w:space="0" w:color="auto"/>
        <w:left w:val="none" w:sz="0" w:space="0" w:color="auto"/>
        <w:bottom w:val="none" w:sz="0" w:space="0" w:color="auto"/>
        <w:right w:val="none" w:sz="0" w:space="0" w:color="auto"/>
      </w:divBdr>
    </w:div>
    <w:div w:id="137766738">
      <w:bodyDiv w:val="1"/>
      <w:marLeft w:val="0"/>
      <w:marRight w:val="0"/>
      <w:marTop w:val="0"/>
      <w:marBottom w:val="0"/>
      <w:divBdr>
        <w:top w:val="none" w:sz="0" w:space="0" w:color="auto"/>
        <w:left w:val="none" w:sz="0" w:space="0" w:color="auto"/>
        <w:bottom w:val="none" w:sz="0" w:space="0" w:color="auto"/>
        <w:right w:val="none" w:sz="0" w:space="0" w:color="auto"/>
      </w:divBdr>
    </w:div>
    <w:div w:id="241184209">
      <w:bodyDiv w:val="1"/>
      <w:marLeft w:val="0"/>
      <w:marRight w:val="0"/>
      <w:marTop w:val="0"/>
      <w:marBottom w:val="0"/>
      <w:divBdr>
        <w:top w:val="none" w:sz="0" w:space="0" w:color="auto"/>
        <w:left w:val="none" w:sz="0" w:space="0" w:color="auto"/>
        <w:bottom w:val="none" w:sz="0" w:space="0" w:color="auto"/>
        <w:right w:val="none" w:sz="0" w:space="0" w:color="auto"/>
      </w:divBdr>
    </w:div>
    <w:div w:id="332607627">
      <w:bodyDiv w:val="1"/>
      <w:marLeft w:val="0"/>
      <w:marRight w:val="0"/>
      <w:marTop w:val="0"/>
      <w:marBottom w:val="0"/>
      <w:divBdr>
        <w:top w:val="none" w:sz="0" w:space="0" w:color="auto"/>
        <w:left w:val="none" w:sz="0" w:space="0" w:color="auto"/>
        <w:bottom w:val="none" w:sz="0" w:space="0" w:color="auto"/>
        <w:right w:val="none" w:sz="0" w:space="0" w:color="auto"/>
      </w:divBdr>
    </w:div>
    <w:div w:id="426462456">
      <w:bodyDiv w:val="1"/>
      <w:marLeft w:val="0"/>
      <w:marRight w:val="0"/>
      <w:marTop w:val="0"/>
      <w:marBottom w:val="0"/>
      <w:divBdr>
        <w:top w:val="none" w:sz="0" w:space="0" w:color="auto"/>
        <w:left w:val="none" w:sz="0" w:space="0" w:color="auto"/>
        <w:bottom w:val="none" w:sz="0" w:space="0" w:color="auto"/>
        <w:right w:val="none" w:sz="0" w:space="0" w:color="auto"/>
      </w:divBdr>
    </w:div>
    <w:div w:id="471752088">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34854673">
      <w:bodyDiv w:val="1"/>
      <w:marLeft w:val="0"/>
      <w:marRight w:val="0"/>
      <w:marTop w:val="0"/>
      <w:marBottom w:val="0"/>
      <w:divBdr>
        <w:top w:val="none" w:sz="0" w:space="0" w:color="auto"/>
        <w:left w:val="none" w:sz="0" w:space="0" w:color="auto"/>
        <w:bottom w:val="none" w:sz="0" w:space="0" w:color="auto"/>
        <w:right w:val="none" w:sz="0" w:space="0" w:color="auto"/>
      </w:divBdr>
    </w:div>
    <w:div w:id="692993242">
      <w:bodyDiv w:val="1"/>
      <w:marLeft w:val="0"/>
      <w:marRight w:val="0"/>
      <w:marTop w:val="0"/>
      <w:marBottom w:val="0"/>
      <w:divBdr>
        <w:top w:val="none" w:sz="0" w:space="0" w:color="auto"/>
        <w:left w:val="none" w:sz="0" w:space="0" w:color="auto"/>
        <w:bottom w:val="none" w:sz="0" w:space="0" w:color="auto"/>
        <w:right w:val="none" w:sz="0" w:space="0" w:color="auto"/>
      </w:divBdr>
    </w:div>
    <w:div w:id="737823887">
      <w:bodyDiv w:val="1"/>
      <w:marLeft w:val="0"/>
      <w:marRight w:val="0"/>
      <w:marTop w:val="0"/>
      <w:marBottom w:val="0"/>
      <w:divBdr>
        <w:top w:val="none" w:sz="0" w:space="0" w:color="auto"/>
        <w:left w:val="none" w:sz="0" w:space="0" w:color="auto"/>
        <w:bottom w:val="none" w:sz="0" w:space="0" w:color="auto"/>
        <w:right w:val="none" w:sz="0" w:space="0" w:color="auto"/>
      </w:divBdr>
    </w:div>
    <w:div w:id="740299725">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868833971">
      <w:bodyDiv w:val="1"/>
      <w:marLeft w:val="0"/>
      <w:marRight w:val="0"/>
      <w:marTop w:val="0"/>
      <w:marBottom w:val="0"/>
      <w:divBdr>
        <w:top w:val="none" w:sz="0" w:space="0" w:color="auto"/>
        <w:left w:val="none" w:sz="0" w:space="0" w:color="auto"/>
        <w:bottom w:val="none" w:sz="0" w:space="0" w:color="auto"/>
        <w:right w:val="none" w:sz="0" w:space="0" w:color="auto"/>
      </w:divBdr>
    </w:div>
    <w:div w:id="933049120">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55199525">
      <w:bodyDiv w:val="1"/>
      <w:marLeft w:val="0"/>
      <w:marRight w:val="0"/>
      <w:marTop w:val="0"/>
      <w:marBottom w:val="0"/>
      <w:divBdr>
        <w:top w:val="none" w:sz="0" w:space="0" w:color="auto"/>
        <w:left w:val="none" w:sz="0" w:space="0" w:color="auto"/>
        <w:bottom w:val="none" w:sz="0" w:space="0" w:color="auto"/>
        <w:right w:val="none" w:sz="0" w:space="0" w:color="auto"/>
      </w:divBdr>
    </w:div>
    <w:div w:id="107204242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179734102">
      <w:bodyDiv w:val="1"/>
      <w:marLeft w:val="0"/>
      <w:marRight w:val="0"/>
      <w:marTop w:val="0"/>
      <w:marBottom w:val="0"/>
      <w:divBdr>
        <w:top w:val="none" w:sz="0" w:space="0" w:color="auto"/>
        <w:left w:val="none" w:sz="0" w:space="0" w:color="auto"/>
        <w:bottom w:val="none" w:sz="0" w:space="0" w:color="auto"/>
        <w:right w:val="none" w:sz="0" w:space="0" w:color="auto"/>
      </w:divBdr>
    </w:div>
    <w:div w:id="1225484082">
      <w:bodyDiv w:val="1"/>
      <w:marLeft w:val="0"/>
      <w:marRight w:val="0"/>
      <w:marTop w:val="0"/>
      <w:marBottom w:val="0"/>
      <w:divBdr>
        <w:top w:val="none" w:sz="0" w:space="0" w:color="auto"/>
        <w:left w:val="none" w:sz="0" w:space="0" w:color="auto"/>
        <w:bottom w:val="none" w:sz="0" w:space="0" w:color="auto"/>
        <w:right w:val="none" w:sz="0" w:space="0" w:color="auto"/>
      </w:divBdr>
    </w:div>
    <w:div w:id="1446075574">
      <w:bodyDiv w:val="1"/>
      <w:marLeft w:val="0"/>
      <w:marRight w:val="0"/>
      <w:marTop w:val="0"/>
      <w:marBottom w:val="0"/>
      <w:divBdr>
        <w:top w:val="none" w:sz="0" w:space="0" w:color="auto"/>
        <w:left w:val="none" w:sz="0" w:space="0" w:color="auto"/>
        <w:bottom w:val="none" w:sz="0" w:space="0" w:color="auto"/>
        <w:right w:val="none" w:sz="0" w:space="0" w:color="auto"/>
      </w:divBdr>
    </w:div>
    <w:div w:id="1542210164">
      <w:bodyDiv w:val="1"/>
      <w:marLeft w:val="0"/>
      <w:marRight w:val="0"/>
      <w:marTop w:val="0"/>
      <w:marBottom w:val="0"/>
      <w:divBdr>
        <w:top w:val="none" w:sz="0" w:space="0" w:color="auto"/>
        <w:left w:val="none" w:sz="0" w:space="0" w:color="auto"/>
        <w:bottom w:val="none" w:sz="0" w:space="0" w:color="auto"/>
        <w:right w:val="none" w:sz="0" w:space="0" w:color="auto"/>
      </w:divBdr>
    </w:div>
    <w:div w:id="1641769576">
      <w:bodyDiv w:val="1"/>
      <w:marLeft w:val="0"/>
      <w:marRight w:val="0"/>
      <w:marTop w:val="0"/>
      <w:marBottom w:val="0"/>
      <w:divBdr>
        <w:top w:val="none" w:sz="0" w:space="0" w:color="auto"/>
        <w:left w:val="none" w:sz="0" w:space="0" w:color="auto"/>
        <w:bottom w:val="none" w:sz="0" w:space="0" w:color="auto"/>
        <w:right w:val="none" w:sz="0" w:space="0" w:color="auto"/>
      </w:divBdr>
    </w:div>
    <w:div w:id="1689017387">
      <w:bodyDiv w:val="1"/>
      <w:marLeft w:val="0"/>
      <w:marRight w:val="0"/>
      <w:marTop w:val="0"/>
      <w:marBottom w:val="0"/>
      <w:divBdr>
        <w:top w:val="none" w:sz="0" w:space="0" w:color="auto"/>
        <w:left w:val="none" w:sz="0" w:space="0" w:color="auto"/>
        <w:bottom w:val="none" w:sz="0" w:space="0" w:color="auto"/>
        <w:right w:val="none" w:sz="0" w:space="0" w:color="auto"/>
      </w:divBdr>
    </w:div>
    <w:div w:id="1788574274">
      <w:bodyDiv w:val="1"/>
      <w:marLeft w:val="0"/>
      <w:marRight w:val="0"/>
      <w:marTop w:val="0"/>
      <w:marBottom w:val="0"/>
      <w:divBdr>
        <w:top w:val="none" w:sz="0" w:space="0" w:color="auto"/>
        <w:left w:val="none" w:sz="0" w:space="0" w:color="auto"/>
        <w:bottom w:val="none" w:sz="0" w:space="0" w:color="auto"/>
        <w:right w:val="none" w:sz="0" w:space="0" w:color="auto"/>
      </w:divBdr>
    </w:div>
    <w:div w:id="1870415762">
      <w:bodyDiv w:val="1"/>
      <w:marLeft w:val="0"/>
      <w:marRight w:val="0"/>
      <w:marTop w:val="0"/>
      <w:marBottom w:val="0"/>
      <w:divBdr>
        <w:top w:val="none" w:sz="0" w:space="0" w:color="auto"/>
        <w:left w:val="none" w:sz="0" w:space="0" w:color="auto"/>
        <w:bottom w:val="none" w:sz="0" w:space="0" w:color="auto"/>
        <w:right w:val="none" w:sz="0" w:space="0" w:color="auto"/>
      </w:divBdr>
    </w:div>
    <w:div w:id="2058433849">
      <w:bodyDiv w:val="1"/>
      <w:marLeft w:val="0"/>
      <w:marRight w:val="0"/>
      <w:marTop w:val="0"/>
      <w:marBottom w:val="0"/>
      <w:divBdr>
        <w:top w:val="none" w:sz="0" w:space="0" w:color="auto"/>
        <w:left w:val="none" w:sz="0" w:space="0" w:color="auto"/>
        <w:bottom w:val="none" w:sz="0" w:space="0" w:color="auto"/>
        <w:right w:val="none" w:sz="0" w:space="0" w:color="auto"/>
      </w:divBdr>
    </w:div>
    <w:div w:id="2065831592">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36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2E5B9-0BCB-4B86-8D44-ED61BBC4F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2017-10-02T16:00:00Z</dcterms:created>
  <dcterms:modified xsi:type="dcterms:W3CDTF">2017-10-02T16:00:00Z</dcterms:modified>
</cp:coreProperties>
</file>